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Types>
</file>

<file path=_rels/.rels>&#65279;<?xml version="1.0" encoding="utf-8"?><Relationships xmlns="http://schemas.openxmlformats.org/package/2006/relationships"><Relationship Type="http://schemas.openxmlformats.org/officeDocument/2006/relationships/officeDocument" Target="/word/document.xml" Id="R00edf6d002f04ab4" /></Relationships>
</file>

<file path=word/document.xml><?xml version="1.0" encoding="utf-8"?>
<w:document xmlns:w="http://schemas.openxmlformats.org/wordprocessingml/2006/main">
  <w:body>
    <w:tbl>
      <w:tblPr>
        <w:tblW w:w="9000" w:type="dxa"/>
        <w:tblBorders>
          <w:top w:val="nil"/>
          <w:bottom w:val="nil"/>
          <w:left w:val="nil"/>
          <w:right w:val="nil"/>
          <w:insideH w:val="nil"/>
          <w:insideV w:val="nil"/>
        </w:tblBorders>
        <w:tblCellSpacing w:w="60" w:type="dxa"/>
        <w:shd w:val="clear" w:color="auto" w:fill="E7F0F9"/>
      </w:tblPr>
      <w:tblGrid>
        <w:gridCol w:w="1200"/>
        <w:gridCol w:w="4500"/>
      </w:tblGrid>
      <w:tr>
        <w:tc>
          <w:tcPr>
            <w:tcW w:w="1200" w:type="pct"/>
            <w:shd w:val="clear" w:color="auto" w:fill="E7F0F9"/>
          </w:tcPr>
          <w:p>
            <w:pPr>
              <w:spacing w:before="0" w:after="0" w:line="240" w:lineRule="auto"/>
              <w:jc w:val="left"/>
            </w:pPr>
            <w:r>
              <w:rPr>
                <w:b/>
              </w:rPr>
              <w:t xml:space="preserve">RKP broj</w:t>
            </w:r>
          </w:p>
        </w:tc>
        <w:tc>
          <w:tcPr>
            <w:shd w:val="clear" w:color="auto" w:fill="E7F0F9"/>
          </w:tcPr>
          <w:p>
            <w:pPr>
              <w:spacing w:before="0" w:after="0" w:line="240" w:lineRule="auto"/>
              <w:jc w:val="left"/>
            </w:pPr>
            <w:r>
              <w:t xml:space="preserve">52612</w:t>
            </w:r>
          </w:p>
        </w:tc>
      </w:tr>
      <w:tr>
        <w:tc>
          <w:tcPr>
            <w:tcW w:w="1200" w:type="pct"/>
            <w:shd w:val="clear" w:color="auto" w:fill="E7F0F9"/>
          </w:tcPr>
          <w:p>
            <w:pPr>
              <w:spacing w:before="0" w:after="0" w:line="240" w:lineRule="auto"/>
              <w:jc w:val="left"/>
            </w:pPr>
            <w:r>
              <w:rPr>
                <w:b/>
              </w:rPr>
              <w:t xml:space="preserve">Naziv obveznika</w:t>
            </w:r>
          </w:p>
        </w:tc>
        <w:tc>
          <w:tcPr>
            <w:shd w:val="clear" w:color="auto" w:fill="E7F0F9"/>
          </w:tcPr>
          <w:p>
            <w:pPr>
              <w:spacing w:before="0" w:after="0" w:line="240" w:lineRule="auto"/>
              <w:jc w:val="left"/>
            </w:pPr>
            <w:r>
              <w:t xml:space="preserve">PUČKO OTVORENO UČILIŠTE PREGRADA</w:t>
            </w:r>
          </w:p>
        </w:tc>
      </w:tr>
      <w:tr>
        <w:tc>
          <w:tcPr>
            <w:tcW w:w="1200" w:type="pct"/>
            <w:shd w:val="clear" w:color="auto" w:fill="E7F0F9"/>
          </w:tcPr>
          <w:p>
            <w:pPr>
              <w:spacing w:before="0" w:after="0" w:line="240" w:lineRule="auto"/>
              <w:jc w:val="left"/>
            </w:pPr>
            <w:r>
              <w:rPr>
                <w:b/>
              </w:rPr>
              <w:t xml:space="preserve">Razina</w:t>
            </w:r>
          </w:p>
        </w:tc>
        <w:tc>
          <w:tcPr>
            <w:shd w:val="clear" w:color="auto" w:fill="E7F0F9"/>
          </w:tcPr>
          <w:p>
            <w:pPr>
              <w:spacing w:before="0" w:after="0" w:line="240" w:lineRule="auto"/>
              <w:jc w:val="left"/>
            </w:pPr>
            <w:r>
              <w:t xml:space="preserve">21</w:t>
            </w:r>
          </w:p>
        </w:tc>
      </w:tr>
    </w:tbl>
    <w:p>
      <w:r>
        <w:br/>
      </w:r>
    </w:p>
    <w:p>
      <w:pPr>
        <w:jc w:val="center"/>
        <w:pStyle w:val="Normal"/>
        <w:spacing w:line="240" w:lineRule="auto"/>
      </w:pPr>
      <w:r>
        <w:rPr>
          <w:b/>
          <w:sz w:val="28"/>
          <w:rFonts w:ascii="Times New Roman" w:hAnsi="Times New Roman"/>
        </w:rPr>
        <w:t xml:space="preserve">BILJEŠKE UZ FINANCIJSKE IZVJEŠTAJE</w:t>
      </w:r>
    </w:p>
    <w:p>
      <w:pPr>
        <w:jc w:val="center"/>
        <w:pStyle w:val="Normal"/>
        <w:spacing w:line="240" w:lineRule="auto"/>
      </w:pPr>
      <w:r>
        <w:rPr>
          <w:b/>
          <w:sz w:val="28"/>
          <w:rFonts w:ascii="Times New Roman" w:hAnsi="Times New Roman"/>
        </w:rPr>
        <w:t xml:space="preserve">ZA RAZDOBLJE</w:t>
      </w:r>
    </w:p>
    <w:p>
      <w:pPr>
        <w:jc w:val="center"/>
        <w:pStyle w:val="Normal"/>
        <w:spacing w:line="240" w:lineRule="auto"/>
      </w:pPr>
      <w:r>
        <w:rPr>
          <w:b/>
          <w:sz w:val="28"/>
          <w:rFonts w:ascii="Times New Roman" w:hAnsi="Times New Roman"/>
        </w:rPr>
        <w:t xml:space="preserve">I - XII 2025.</w:t>
      </w:r>
    </w:p>
    <w:p/>
    <w:p>
      <w:pPr>
        <w:jc w:val="center"/>
        <w:pStyle w:val="Normal"/>
        <w:spacing w:line="240" w:lineRule="auto"/>
        <w:keepNext/>
      </w:pPr>
      <w:r>
        <w:rPr>
          <w:b/>
          <w:sz w:val="28"/>
          <w:rFonts w:ascii="Times New Roman" w:hAnsi="Times New Roman"/>
        </w:rPr>
        <w:t xml:space="preserve">Izvještaj o prihodima i rashodima, primicima i izdacima</w:t>
      </w:r>
    </w:p>
    <w:p>
      <w:pPr>
        <w:jc w:val="center"/>
        <w:pStyle w:val="Normal"/>
        <w:spacing w:line="240" w:lineRule="auto"/>
        <w:keepNext/>
      </w:pPr>
      <w:r>
        <w:rPr>
          <w:sz w:val="28"/>
          <w:rFonts w:ascii="Times New Roman" w:hAnsi="Times New Roman"/>
        </w:rPr>
        <w:t xml:space="preserve">Bilješka 1.</w:t>
      </w:r>
    </w:p>
    <w:tbl>
      <w:tblPr>
        <w:tblBorders>
          <w:top w:val="single" w:color="BABABA" w:sz="12"/>
          <w:bottom w:val="single" w:color="BABABA" w:sz="12"/>
          <w:left w:val="single" w:color="BABABA" w:sz="12"/>
          <w:right w:val="single" w:color="BABABA" w:sz="12"/>
          <w:insideH w:val="single" w:color="BABABA" w:sz="8"/>
          <w:insideV w:val="single" w:color="DADADA" w:sz="8"/>
        </w:tblBorders>
        <w:tblW w:w="0" w:type="auto"/>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POSLOVANJA (šifre 61+62+63+64+65+66+67+68)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116.244,11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136.977,82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117,8</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POSLOVANJA (šifre 31+32+34+35+36+37+38)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112.040,10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138.220,22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123,4</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MANJAK PRIHODA POSLOVANJA (šifre Z005-6)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Y001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1.242,40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prodaje nefinancijske imovine (šifre 71+72+73+74)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za nabavu nefinancijske imovine (šifre 41+42+43+44+45)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3.914,15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1.388,50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35,5</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MANJAK PRIHODA OD NEFINANCIJSKE IMOVINE (šifre 4-7)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Y002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3.914,15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1.388,50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35,5</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Primici od financijske imovine i zaduživanja (šifre 81+82+83+84+85)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Izdaci za financijsku imovinu i otplate zajmova (šifre 51+52+53+54+55)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VIŠAK/MANJAK PRIMITAKA OD FINANCIJSKE IMOVINE I ZADUŽIVANJA (šifre 8-5, 5-8)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X003, Y003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MANJAK PRIHODA I PRIMITAKA (šifre Y345-X678)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Y005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2.630,90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w:t>
            </w:r>
          </w:p>
        </w:tc>
      </w:tr>
    </w:tbl>
    <w:p>
      <w:pPr>
        <w:spacing w:before="0" w:after="0"/>
      </w:pPr>
    </w:p>
    <w:p>
      <w:r>
        <w:t xml:space="preserve">Ukupno ostvareni prihodi poslovanja iznose 136.977,82 EUR,  dok ukupni rashodi iznose 139.608,72 EUR (šifra 3 i šifra 4). Manjak prihoda razdoblja iznosi 2.630,90 EUR.</w:t>
      </w:r>
    </w:p>
    <w:p>
      <w:r>
        <w:t xml:space="preserve">Preneseni višak iz 2024. godine iznosi 2.631,67 EUR, tako da preneseni višak u narednso razdoblje iznosi 0,77 EUR.</w:t>
      </w:r>
    </w:p>
    <w:p>
      <w:r>
        <w:t xml:space="preserve">U navedenom razdoblju nije bilo ostvarenih primitaka i izdataka od financijske imovine i zaduživanja. </w:t>
      </w:r>
    </w:p>
    <w:p>
      <w:r>
        <w:t xml:space="preserve">Pučko otvoreno učilište nema ugovorne odnose koji bi, uz ispunjenje određenih uvjeta, mogli postati obveza ili imovina, poput danih kreditnih pisama, hipoteka ili sličnih instrumenata Potencijalnih obveza po sudskim sporovima i sudskih sporova u tijeku nema.</w:t>
      </w:r>
    </w:p>
    <w:p>
      <w:r>
        <w:br/>
      </w:r>
    </w:p>
    <w:p>
      <w:pPr>
        <w:jc w:val="center"/>
        <w:pStyle w:val="Normal"/>
        <w:spacing w:line="240" w:lineRule="auto"/>
        <w:keepNext/>
      </w:pPr>
      <w:r>
        <w:rPr>
          <w:sz w:val="28"/>
          <w:rFonts w:ascii="Times New Roman" w:hAnsi="Times New Roman"/>
        </w:rPr>
        <w:t xml:space="preserve">Bilješka 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Pomoći proračunskim korisnicima iz proračuna koji im nije nadležan (šifre 6361+6362)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1.500,00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2.000,00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133,3</w:t>
            </w:r>
          </w:p>
        </w:tc>
      </w:tr>
    </w:tbl>
    <w:p>
      <w:pPr>
        <w:spacing w:before="0" w:after="0"/>
      </w:pPr>
    </w:p>
    <w:p>
      <w:r>
        <w:t xml:space="preserve">Na šifri 636 prikazani su prihodi u iznosu od 2.000,00 EUR koji su ostvareni na Javnom pozivu za programe urbane kulture u Pregradi 2025. godine.  Prethodne godine ostavreno je manje sredstava po istom pozivu.</w:t>
      </w:r>
    </w:p>
    <w:p/>
    <w:p>
      <w:pPr>
        <w:jc w:val="center"/>
        <w:pStyle w:val="Normal"/>
        <w:spacing w:line="240" w:lineRule="auto"/>
        <w:keepNext/>
      </w:pPr>
      <w:r>
        <w:rPr>
          <w:sz w:val="28"/>
          <w:rFonts w:ascii="Times New Roman" w:hAnsi="Times New Roman"/>
        </w:rPr>
        <w:t xml:space="preserve">Bilješka 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Pomoći temeljem prijenosa EU sredstava (šifre 6381+6382)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96,92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110,35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113,9</w:t>
            </w:r>
          </w:p>
        </w:tc>
      </w:tr>
    </w:tbl>
    <w:p>
      <w:pPr>
        <w:spacing w:before="0" w:after="0"/>
      </w:pPr>
    </w:p>
    <w:p>
      <w:r>
        <w:t xml:space="preserve">Na šifri 638  ostvareni su prihodi u iznosu od 110,35 EUR koji je doznačen od Agencije za mobilnost i programe EU po završnom izvješću za realiziranu aktivnost suradnje i osposobljavanja (TCA) sastanka.</w:t>
      </w:r>
    </w:p>
    <w:p/>
    <w:p>
      <w:pPr>
        <w:jc w:val="center"/>
        <w:pStyle w:val="Normal"/>
        <w:spacing w:line="240" w:lineRule="auto"/>
        <w:keepNext/>
      </w:pPr>
      <w:r>
        <w:rPr>
          <w:sz w:val="28"/>
          <w:rFonts w:ascii="Times New Roman" w:hAnsi="Times New Roman"/>
        </w:rPr>
        <w:t xml:space="preserve">Bilješka 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imovine (šifre 641+642+643)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9,86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8,01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81,2</w:t>
            </w:r>
          </w:p>
        </w:tc>
      </w:tr>
    </w:tbl>
    <w:p>
      <w:pPr>
        <w:spacing w:before="0" w:after="0"/>
      </w:pPr>
    </w:p>
    <w:p>
      <w:r>
        <w:t xml:space="preserve">Na šifri 641  prikazan je iznos pasivnih kamata po računu u iznosu od 8,01 EUR.</w:t>
      </w:r>
    </w:p>
    <w:p>
      <w:r>
        <w:t xml:space="preserve"> </w:t>
      </w:r>
    </w:p>
    <w:p/>
    <w:p>
      <w:pPr>
        <w:jc w:val="center"/>
        <w:pStyle w:val="Normal"/>
        <w:spacing w:line="240" w:lineRule="auto"/>
        <w:keepNext/>
      </w:pPr>
      <w:r>
        <w:rPr>
          <w:sz w:val="28"/>
          <w:rFonts w:ascii="Times New Roman" w:hAnsi="Times New Roman"/>
        </w:rPr>
        <w:t xml:space="preserve">Bilješka 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prodaje proizvoda i robe te pruženih usluga, prihodi od donacija te povrati po protestiranim jamstvima (šifre 661+663)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1.600,00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1.430,00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89,4</w:t>
            </w:r>
          </w:p>
        </w:tc>
      </w:tr>
    </w:tbl>
    <w:p>
      <w:pPr>
        <w:spacing w:before="0" w:after="0"/>
      </w:pPr>
    </w:p>
    <w:p>
      <w:r>
        <w:t xml:space="preserve">Prikazan je iznos od 1.430,00 EUR koji se odnosi na donacije za realizaciju aktivnosti Pregračkog fašnika. U odnosu na prethodno razdoblje ostvareno je manje donacija.</w:t>
      </w:r>
    </w:p>
    <w:p/>
    <w:p>
      <w:pPr>
        <w:jc w:val="center"/>
        <w:pStyle w:val="Normal"/>
        <w:spacing w:line="240" w:lineRule="auto"/>
        <w:keepNext/>
      </w:pPr>
      <w:r>
        <w:rPr>
          <w:sz w:val="28"/>
          <w:rFonts w:ascii="Times New Roman" w:hAnsi="Times New Roman"/>
        </w:rPr>
        <w:t xml:space="preserve">Bilješka 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iz nadležnog proračuna i od HZZO-a na temelju ugovornih obveza (šifre 671+673)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113.037,33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133.429,46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118,0</w:t>
            </w:r>
          </w:p>
        </w:tc>
      </w:tr>
    </w:tbl>
    <w:p>
      <w:pPr>
        <w:spacing w:before="0" w:after="0"/>
      </w:pPr>
    </w:p>
    <w:p>
      <w:r>
        <w:t xml:space="preserve">Prikazani su prihodi iz nadležnog proračuna za financiranje redovne djelatnosti Pučkog otvorenog učilišta u iznosu od 133.429,46 EUR. Povećanje u odnosu na prethodno razdoblje bilježimo iz razloga što se kroz cijelu godinu prImjenjivala veća osnovica za obračun plaća koja je stupila na snagu tijekom rujna 2024. godine</w:t>
      </w:r>
    </w:p>
    <w:p/>
    <w:p>
      <w:pPr>
        <w:jc w:val="center"/>
        <w:pStyle w:val="Normal"/>
        <w:spacing w:line="240" w:lineRule="auto"/>
        <w:keepNext/>
      </w:pPr>
      <w:r>
        <w:rPr>
          <w:sz w:val="28"/>
          <w:rFonts w:ascii="Times New Roman" w:hAnsi="Times New Roman"/>
        </w:rPr>
        <w:t xml:space="preserve">Bilješka 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za zaposlene (šifre 311+312+313)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96.414,08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117.399,11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121,8</w:t>
            </w:r>
          </w:p>
        </w:tc>
      </w:tr>
    </w:tbl>
    <w:p>
      <w:pPr>
        <w:spacing w:before="0" w:after="0"/>
      </w:pPr>
    </w:p>
    <w:p>
      <w:r>
        <w:t xml:space="preserve">Iskazani su rashodi u iznosu od 117.399,11 EUR. Navedeni rashodi odnose se na troškove za plaću zaposlenika i ostale rashode za zaposlene. Uz ravnatelja, zaposleno je još dvoje djelatnika, stručni suradnik i viši stručni suradnik.</w:t>
      </w:r>
    </w:p>
    <w:p/>
    <w:p>
      <w:pPr>
        <w:jc w:val="center"/>
        <w:pStyle w:val="Normal"/>
        <w:spacing w:line="240" w:lineRule="auto"/>
        <w:keepNext/>
      </w:pPr>
      <w:r>
        <w:rPr>
          <w:sz w:val="28"/>
          <w:rFonts w:ascii="Times New Roman" w:hAnsi="Times New Roman"/>
        </w:rPr>
        <w:t xml:space="preserve">Bilješka 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Materijalni rashodi (šifre 321+322+323+324+325+329)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15.306,62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20.314,38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132,7</w:t>
            </w:r>
          </w:p>
        </w:tc>
      </w:tr>
    </w:tbl>
    <w:p>
      <w:pPr>
        <w:spacing w:before="0" w:after="0"/>
      </w:pPr>
    </w:p>
    <w:p>
      <w:r>
        <w:t xml:space="preserve">Iskazni su rashodi u iznosu od 20.314,38 EUR. Navedeni rashodi odnose se na službena putovanja, prijevoz zaposlnih, rashode za materijala i energiju, rashode za usluge i ostale nespomenute rashode. U odnosu na prethodno razdoblje najveće povećanje bilježimo na kontu 3212 zbog povećanih troškova prijevoza na posao iz razloga preseljenja zaposlenika POU.  </w:t>
      </w:r>
    </w:p>
    <w:p/>
    <w:p>
      <w:pPr>
        <w:jc w:val="center"/>
        <w:pStyle w:val="Normal"/>
        <w:spacing w:line="240" w:lineRule="auto"/>
        <w:keepNext/>
      </w:pPr>
      <w:r>
        <w:rPr>
          <w:sz w:val="28"/>
          <w:rFonts w:ascii="Times New Roman" w:hAnsi="Times New Roman"/>
        </w:rPr>
        <w:t xml:space="preserve">Bilješka 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Usluge tekućeg i investicijskog održavanja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1.742,50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3.830,28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219,8</w:t>
            </w:r>
          </w:p>
        </w:tc>
      </w:tr>
    </w:tbl>
    <w:p>
      <w:pPr>
        <w:spacing w:before="0" w:after="0"/>
      </w:pPr>
    </w:p>
    <w:p>
      <w:r>
        <w:t xml:space="preserve">U 2025. godnni bilježimo povećanje troškova za računalne usluge od 11980 % iz razloga što se isti više ne podmiruju izravno iz proračuna Grada Pregrade već iz sredstava Pučkog otvorenog učilišta.</w:t>
      </w:r>
    </w:p>
    <w:p/>
    <w:p>
      <w:pPr>
        <w:jc w:val="center"/>
        <w:pStyle w:val="Normal"/>
        <w:spacing w:line="240" w:lineRule="auto"/>
        <w:keepNext/>
      </w:pPr>
      <w:r>
        <w:rPr>
          <w:sz w:val="28"/>
          <w:rFonts w:ascii="Times New Roman" w:hAnsi="Times New Roman"/>
        </w:rPr>
        <w:t xml:space="preserve">Bilješka 10.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Financijski rashodi (šifre 341+342+343)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319,40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506,73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158,7</w:t>
            </w:r>
          </w:p>
        </w:tc>
      </w:tr>
    </w:tbl>
    <w:p>
      <w:pPr>
        <w:spacing w:before="0" w:after="0"/>
      </w:pPr>
    </w:p>
    <w:p>
      <w:r>
        <w:t xml:space="preserve">Iskazani su rashodi za usluge platnog prometa i bankarske usluge u iznosu od 506,76 EUR. U odnosu na  prethodno razdoblje bilježimo povećanje zbog nabavke poslovnog certifikata za redovno poslovanje.</w:t>
      </w:r>
    </w:p>
    <w:p/>
    <w:p>
      <w:pPr>
        <w:jc w:val="center"/>
        <w:pStyle w:val="Normal"/>
        <w:spacing w:line="240" w:lineRule="auto"/>
        <w:keepNext/>
      </w:pPr>
      <w:r>
        <w:rPr>
          <w:sz w:val="28"/>
          <w:rFonts w:ascii="Times New Roman" w:hAnsi="Times New Roman"/>
        </w:rPr>
        <w:t xml:space="preserve">Bilješka 11.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za nabavu nefinancijske imovine (šifre 41+42+43+44+45)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3.914,15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1.388,50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35,5</w:t>
            </w:r>
          </w:p>
        </w:tc>
      </w:tr>
    </w:tbl>
    <w:p>
      <w:pPr>
        <w:spacing w:before="0" w:after="0"/>
      </w:pPr>
    </w:p>
    <w:p>
      <w:r>
        <w:t xml:space="preserve">Iskazani rashodi u iznosu od 1.388,50 EUR odnose se na nabavu printera i rasvjetnih tijela tijekom 2025. godine. Tijekom promatranog razdoblja nabavljano je manje opreme i namještaja u odnosu na prethodno razdoblje.</w:t>
      </w:r>
    </w:p>
    <w:p/>
    <w:p>
      <w:pPr>
        <w:jc w:val="center"/>
        <w:pStyle w:val="Normal"/>
        <w:spacing w:line="240" w:lineRule="auto"/>
        <w:keepNext/>
      </w:pPr>
      <w:r>
        <w:rPr>
          <w:sz w:val="28"/>
          <w:rFonts w:ascii="Times New Roman" w:hAnsi="Times New Roman"/>
        </w:rPr>
        <w:t xml:space="preserve">Bilješka 12.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Višak prihoda i primitaka raspoloživ u sljedećem razdoblju (šifre X005 + '9221-9222' - Y005 - '9222-9221')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X006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2.631,67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0,77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w:t>
            </w:r>
          </w:p>
        </w:tc>
      </w:tr>
    </w:tbl>
    <w:p>
      <w:pPr>
        <w:spacing w:before="0" w:after="0"/>
      </w:pPr>
    </w:p>
    <w:p>
      <w:r>
        <w:t xml:space="preserve">Na šifri X678  prikazani su ukupni prihodi i primici u iznosu 136.977,82 EUR, na šifri Y345 ukupno rashodi i izdaci 139.608,72 EUR. Rezultat poslovanja za 2025. godinu je manjak koji iznosi 2.630.90 EUR. Preneseni višak iz 2024. godine iznosi 2.631,67 EUR. </w:t>
      </w:r>
    </w:p>
    <w:p>
      <w:r>
        <w:rPr>
          <w:b/>
        </w:rPr>
        <w:t xml:space="preserve">VIŠAK/MANJAK</w:t>
      </w:r>
    </w:p>
    <w:p>
      <w:r>
        <w:t xml:space="preserve">Višak prihoda iznosi 0,77 EUR, te se prenosi u sljedeću godinu. Preneseni višak je iz izvora vlastiti prihodi u cijelosti.</w:t>
      </w:r>
    </w:p>
    <w:p/>
    <w:p>
      <w:pPr>
        <w:jc w:val="center"/>
        <w:pStyle w:val="Normal"/>
        <w:spacing w:line="240" w:lineRule="auto"/>
        <w:keepNext/>
      </w:pPr>
      <w:r>
        <w:rPr>
          <w:b/>
          <w:sz w:val="28"/>
          <w:rFonts w:ascii="Times New Roman" w:hAnsi="Times New Roman"/>
        </w:rPr>
        <w:t xml:space="preserve">Bilanca</w:t>
      </w:r>
    </w:p>
    <w:p>
      <w:pPr>
        <w:jc w:val="center"/>
        <w:pStyle w:val="Normal"/>
        <w:spacing w:line="240" w:lineRule="auto"/>
        <w:keepNext/>
      </w:pPr>
      <w:r>
        <w:rPr>
          <w:sz w:val="28"/>
          <w:rFonts w:ascii="Times New Roman" w:hAnsi="Times New Roman"/>
        </w:rPr>
        <w:t xml:space="preserve">Bilješka 13.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IMOVINA (šifre B002+1)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B001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28.592,17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15.806,33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55,3</w:t>
            </w:r>
          </w:p>
        </w:tc>
      </w:tr>
    </w:tbl>
    <w:p>
      <w:pPr>
        <w:spacing w:before="0" w:after="0"/>
      </w:pPr>
    </w:p>
    <w:p>
      <w:r>
        <w:t xml:space="preserve">Ukupna aktiva iznosi 15.806,33 EUR, sastoji se od nefinancijske imovine u iznosu od  5.041,42 EUR i financijske imovine u ukupnom iznosu od 10.764,91 EUR. U odnosu na prethodno razdoblje bilježimo smanjenje zbog uspostavljanja riznice, te su sva novčana sredstva prebačena na račun Grada Pregrade.</w:t>
      </w:r>
    </w:p>
    <w:p/>
    <w:p>
      <w:pPr>
        <w:jc w:val="center"/>
        <w:pStyle w:val="Normal"/>
        <w:spacing w:line="240" w:lineRule="auto"/>
        <w:keepNext/>
      </w:pPr>
      <w:r>
        <w:rPr>
          <w:sz w:val="28"/>
          <w:rFonts w:ascii="Times New Roman" w:hAnsi="Times New Roman"/>
        </w:rPr>
        <w:t xml:space="preserve">Bilješka 14.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Financijska imovina (šifre 11+12+13+14+15+16+17+19)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23.131,52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10.764,91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46,5</w:t>
            </w:r>
          </w:p>
        </w:tc>
      </w:tr>
    </w:tbl>
    <w:p>
      <w:pPr>
        <w:spacing w:before="0" w:after="0"/>
      </w:pPr>
    </w:p>
    <w:p>
      <w:r>
        <w:t xml:space="preserve">Pučko otvoreno učilište je sa danom 29.12.2025. zatvorio svoj bankovni račun jer sukladno Odluci o uvođenju u sustava riznice (Službeni glasnik KZŽ 36A/25) sa danom 1. siječnja 2026. godine financijsko poslovanje provodi se putem jedinstvenog računa Grada Pregrade, te su sva novčana sredstva prenesena na račun Grada.</w:t>
      </w:r>
    </w:p>
    <w:p/>
    <w:p>
      <w:pPr>
        <w:jc w:val="center"/>
        <w:pStyle w:val="Normal"/>
        <w:spacing w:line="240" w:lineRule="auto"/>
        <w:keepNext/>
      </w:pPr>
      <w:r>
        <w:rPr>
          <w:sz w:val="28"/>
          <w:rFonts w:ascii="Times New Roman" w:hAnsi="Times New Roman"/>
        </w:rPr>
        <w:t xml:space="preserve">Bilješka 15.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129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Ostala potraživanja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129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97,33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208,37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214,1</w:t>
            </w:r>
          </w:p>
        </w:tc>
      </w:tr>
    </w:tbl>
    <w:p>
      <w:pPr>
        <w:spacing w:before="0" w:after="0"/>
      </w:pPr>
    </w:p>
    <w:p>
      <w:r>
        <w:t xml:space="preserve">Potraživanja se odnose na:</w:t>
      </w:r>
    </w:p>
    <w:p>
      <w:r>
        <w:t xml:space="preserve">•       potraživanja za refundacije od HZZO-a za bolovanja u iznosu od 208,37 EUR.</w:t>
      </w:r>
    </w:p>
    <w:p/>
    <w:p>
      <w:pPr>
        <w:jc w:val="center"/>
        <w:pStyle w:val="Normal"/>
        <w:spacing w:line="240" w:lineRule="auto"/>
        <w:keepNext/>
      </w:pPr>
      <w:r>
        <w:rPr>
          <w:sz w:val="28"/>
          <w:rFonts w:ascii="Times New Roman" w:hAnsi="Times New Roman"/>
        </w:rPr>
        <w:t xml:space="preserve">Bilješka 16.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Potraživanja za prihode poslovanja (šifre 161 do 163 + 164 do 168-169)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10.556,54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Sukladno Odluci o uvođenju u sustava riznice (Službeni glasnik KZŽ 36A/25) iznos od 10.556,54 EUR uplaćen je na račun Grada Pregrade. </w:t>
      </w:r>
    </w:p>
    <w:p>
      <w:r>
        <w:t xml:space="preserve">Potraživanje se odnosi na plaće za 12/25 i troškove po neplaćenim računima.</w:t>
      </w:r>
    </w:p>
    <w:p/>
    <w:p>
      <w:pPr>
        <w:jc w:val="center"/>
        <w:pStyle w:val="Normal"/>
        <w:spacing w:line="240" w:lineRule="auto"/>
        <w:keepNext/>
      </w:pPr>
      <w:r>
        <w:rPr>
          <w:sz w:val="28"/>
          <w:rFonts w:ascii="Times New Roman" w:hAnsi="Times New Roman"/>
        </w:rPr>
        <w:t xml:space="preserve">Bilješka 17.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OBVEZE I VLASTITI IZVORI (šifre 2+9)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B003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28.592,17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15.806,33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55,3</w:t>
            </w:r>
          </w:p>
        </w:tc>
      </w:tr>
    </w:tbl>
    <w:p>
      <w:pPr>
        <w:spacing w:before="0" w:after="0"/>
      </w:pPr>
    </w:p>
    <w:p>
      <w:r>
        <w:t xml:space="preserve">Ukupna pasiva iznosi 15.806,33 EUR, sastoji se od obveza u iznosu od 10.764,14 EUR i vlastitih izvora u ukupnom iznosu od 5.042,19 EUR. </w:t>
      </w:r>
    </w:p>
    <w:p/>
    <w:p>
      <w:pPr>
        <w:jc w:val="center"/>
        <w:pStyle w:val="Normal"/>
        <w:spacing w:line="240" w:lineRule="auto"/>
        <w:keepNext/>
      </w:pPr>
      <w:r>
        <w:rPr>
          <w:sz w:val="28"/>
          <w:rFonts w:ascii="Times New Roman" w:hAnsi="Times New Roman"/>
        </w:rPr>
        <w:t xml:space="preserve">Bilješka 18.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239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Ostale tekuće obveze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239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10.716,71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w:t>
            </w:r>
          </w:p>
        </w:tc>
      </w:tr>
    </w:tbl>
    <w:p>
      <w:pPr>
        <w:spacing w:before="0" w:after="0"/>
      </w:pPr>
    </w:p>
    <w:p>
      <w:r>
        <w:t xml:space="preserve">Sve obveze po kontu 239 - obveze proračunskih korisnika za povrat u proračuna s 1.1.2025. godine su prebačene na novi konto skupine 27, zbog promjene u načinu evidentiranja i iskazivanja podataka. Na dan 31.12.2025. nema obveza za povrat u nadležni proračun.</w:t>
      </w:r>
    </w:p>
    <w:p/>
    <w:p>
      <w:pPr>
        <w:jc w:val="center"/>
        <w:pStyle w:val="Normal"/>
        <w:spacing w:line="240" w:lineRule="auto"/>
        <w:keepNext/>
      </w:pPr>
      <w:r>
        <w:rPr>
          <w:b/>
          <w:sz w:val="28"/>
          <w:rFonts w:ascii="Times New Roman" w:hAnsi="Times New Roman"/>
        </w:rPr>
        <w:t xml:space="preserve">Izvještaj o rashodima prema funkcijskoj klasifikaciji</w:t>
      </w:r>
    </w:p>
    <w:p>
      <w:pPr>
        <w:jc w:val="center"/>
        <w:pStyle w:val="Normal"/>
        <w:spacing w:line="240" w:lineRule="auto"/>
        <w:keepNext/>
      </w:pPr>
      <w:r>
        <w:rPr>
          <w:sz w:val="28"/>
          <w:rFonts w:ascii="Times New Roman" w:hAnsi="Times New Roman"/>
        </w:rPr>
        <w:t xml:space="preserve">Bilješka 19.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Obrazovanje (šifre 091+092+093+094+095+096+097+098)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115.954,25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139.608,72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120,4</w:t>
            </w:r>
          </w:p>
        </w:tc>
      </w:tr>
    </w:tbl>
    <w:p>
      <w:pPr>
        <w:spacing w:before="0" w:after="0"/>
      </w:pPr>
    </w:p>
    <w:p>
      <w:r>
        <w:t xml:space="preserve">Iskazani iznos odnosi se na ukupne troškove poslovanja koji iznosi 139.608,72 EUR. Ukupan trošak iskazan je funkcijskoj klasifikaciji pod šifrom 098.</w:t>
      </w:r>
    </w:p>
    <w:p/>
    <w:p>
      <w:pPr>
        <w:jc w:val="center"/>
        <w:pStyle w:val="Normal"/>
        <w:spacing w:line="240" w:lineRule="auto"/>
        <w:keepNext/>
      </w:pPr>
      <w:r>
        <w:rPr>
          <w:b/>
          <w:sz w:val="28"/>
          <w:rFonts w:ascii="Times New Roman" w:hAnsi="Times New Roman"/>
        </w:rPr>
        <w:t xml:space="preserve">Izvještaj o obvezama</w:t>
      </w:r>
    </w:p>
    <w:p>
      <w:pPr>
        <w:jc w:val="center"/>
        <w:pStyle w:val="Normal"/>
        <w:spacing w:line="240" w:lineRule="auto"/>
        <w:keepNext/>
      </w:pPr>
      <w:r>
        <w:rPr>
          <w:sz w:val="28"/>
          <w:rFonts w:ascii="Times New Roman" w:hAnsi="Times New Roman"/>
        </w:rPr>
        <w:t xml:space="preserve">Bilješka 20.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Stanje obveza na kraju izvještajnog razdoblja (šifre V001+V002-V004) i (šifre V007+V009)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V006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10.764,14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Obveze na kraju izvještajnog razdoblja  iznose 10.764,14 EUR. Dospjeli iznos obveza na kraju godine iznosi 37,90 EUR. Nedospjele obveze se odnose na obveze po plaći za prosinac koja se je isplatila u siječnju 2026. godine, te na račune koje koji dospijevaju u siječnju 2026. godine.  </w:t>
      </w:r>
    </w:p>
    <w:p/>
    <w:p>
      <w:pPr>
        <w:jc w:val="center"/>
        <w:pStyle w:val="Normal"/>
        <w:spacing w:line="240" w:lineRule="auto"/>
        <w:keepNext/>
      </w:pPr>
      <w:r>
        <w:rPr>
          <w:sz w:val="28"/>
          <w:rFonts w:ascii="Times New Roman" w:hAnsi="Times New Roman"/>
        </w:rPr>
        <w:t xml:space="preserve">Bilješka 21.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Stanje dospjelih obveza na kraju izvještajnog razdoblja (šifre V008+D23+D24 + 'D dio 25,26' + D27)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V007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37,90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Dospjele, a nepodmirene obveze odnose se na račun koji je zaprimljen u prosincu ,a odnosi se na mjesec travanj. Isti će biti podmiren u siječnju 2026. godine.</w:t>
      </w:r>
    </w:p>
    <w:p/>
    <w:p>
      <w:pPr>
        <w:jc w:val="center"/>
        <w:pStyle w:val="Normal"/>
        <w:spacing w:line="240" w:lineRule="auto"/>
        <w:keepNext/>
      </w:pPr>
      <w:r>
        <w:rPr>
          <w:sz w:val="28"/>
          <w:rFonts w:ascii="Times New Roman" w:hAnsi="Times New Roman"/>
        </w:rPr>
        <w:t xml:space="preserve">Bilješka 22.</w:t>
      </w:r>
    </w:p>
    <w:p>
      <w:pPr>
        <w:jc w:val="both"/>
        <w:pStyle w:val="Normal"/>
        <w:spacing w:line="240" w:lineRule="auto"/>
      </w:pPr>
      <w:r>
        <w:rPr>
          <w:b/>
          <w:sz w:val="24"/>
          <w:rFonts w:ascii="Times New Roman" w:hAnsi="Times New Roman"/>
        </w:rPr>
        <w:t xml:space="preserve">EU izvještaj</w:t>
      </w:r>
    </w:p>
    <w:p>
      <w:r>
        <w:t xml:space="preserve">U EU izvještaju prikazani su prihodi od 110,35 EUR koji se odnose prijenos sredstava od Agencije za mobilnost i EU projekte. Ista ta sredstva utrošena su za stručno usavršavanje zaposlenice koja je sudjelovala na aktivnosti TCA sastanka u sklopu Erasmus projekta.</w:t>
      </w:r>
    </w:p>
    <w:p>
      <w:r>
        <w:t xml:space="preserve"> </w:t>
      </w:r>
    </w:p>
    <w:p/>
  </w:body>
</w:document>
</file>

<file path=word/styles.xml><?xml version="1.0" encoding="utf-8"?>
<w:styles xmlns:w="http://schemas.openxmlformats.org/wordprocessingml/2006/main">
  <w:docDefaults>
    <w:rPrDefault>
      <w:rPr>
        <w:rFonts w:ascii="Times New Roman" w:hAnsi="Times New Roman"/>
        <w:sz w:val="24"/>
      </w:rPr>
    </w:rPrDefault>
  </w:docDefaults>
  <w:style w:type="paragraph" w:styleId="Normal" w:default="true">
    <w:name w:val="Normal"/>
    <w:rPr>
      <w:rFonts w:ascii="Times New Roman" w:hAnsi="Times New Roman"/>
      <w:sz w:val="24"/>
    </w:rPr>
  </w:style>
</w:styles>
</file>

<file path=word/_rels/document.xml.rels>&#65279;<?xml version="1.0" encoding="utf-8"?><Relationships xmlns="http://schemas.openxmlformats.org/package/2006/relationships"><Relationship Type="http://schemas.openxmlformats.org/officeDocument/2006/relationships/styles" Target="/word/styles.xml" Id="R5d3246e7d3ed4c2d" /></Relationships>
</file>